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relevance. We defined trait relevance as the maximum</w:t>
      </w:r>
      <w:r>
        <w:t xml:space="preserve"> </w:t>
      </w:r>
      <w:r>
        <w:t xml:space="preserve">correlation of a 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30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33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is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observations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composite transcripts we identified here supported the hypothesis</w:t>
      </w:r>
      <w:r>
        <w:t xml:space="preserve"> </w:t>
      </w:r>
      <w:r>
        <w:t xml:space="preserve">that distally regulated gene expression is the dominant mediator of</w:t>
      </w:r>
      <w:r>
        <w:t xml:space="preserve"> </w:t>
      </w:r>
      <w:r>
        <w:t xml:space="preserve">trait variation. Transcript loadings (the degree to which they</w:t>
      </w:r>
      <w:r>
        <w:t xml:space="preserve"> </w:t>
      </w:r>
      <w:r>
        <w:t xml:space="preserve">contributed to the composite transcript) were negatively correlated with</w:t>
      </w:r>
      <w:r>
        <w:t xml:space="preserve"> </w:t>
      </w:r>
      <w:r>
        <w:t xml:space="preserve">local heritability and positively correlated with distal heritability.</w:t>
      </w:r>
      <w:r>
        <w:t xml:space="preserve"> </w:t>
      </w:r>
      <w:r>
        <w:t xml:space="preserve">The most strongly loaded transcripts were enriched for functional</w:t>
      </w:r>
      <w:r>
        <w:t xml:space="preserve"> </w:t>
      </w:r>
      <w:r>
        <w:t xml:space="preserve">annotations associated with metabolic disease. These distally regulated</w:t>
      </w:r>
      <w:r>
        <w:t xml:space="preserve"> </w:t>
      </w:r>
      <w:r>
        <w:t xml:space="preserve">composite transcripts were highly heritable and explained a high</w:t>
      </w:r>
      <w:r>
        <w:t xml:space="preserve"> </w:t>
      </w:r>
      <w:r>
        <w:t xml:space="preserve">proportion of disease risk, further supporting their role as mediators.</w:t>
      </w:r>
      <w:r>
        <w:t xml:space="preserve"> </w:t>
      </w:r>
      <w:r>
        <w:t xml:space="preserve">The composite transcripts were moreover able to predict obesity in an</w:t>
      </w:r>
      <w:r>
        <w:t xml:space="preserve"> </w:t>
      </w:r>
      <w:r>
        <w:t xml:space="preserve">independent cohort of mice whereas models using local eQTL only could</w:t>
      </w:r>
      <w:r>
        <w:t xml:space="preserve"> </w:t>
      </w:r>
      <w:r>
        <w:t xml:space="preserve">not. Together these observations suggest that distal gene regulation was</w:t>
      </w:r>
      <w:r>
        <w:t xml:space="preserve"> </w:t>
      </w:r>
      <w:r>
        <w:t xml:space="preserve">the dominant mode through which gene expression mediated the effect of</w:t>
      </w:r>
      <w:r>
        <w:t xml:space="preserve"> </w:t>
      </w:r>
      <w:r>
        <w:t xml:space="preserve">genetic background on complex metabolic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 and distributed across the</w:t>
      </w:r>
      <w:r>
        <w:t xml:space="preserve"> </w:t>
      </w:r>
      <w:r>
        <w:t xml:space="preserve">genome. In contrast, one-dimensional, univariate approaches assume a</w:t>
      </w:r>
      <w:r>
        <w:t xml:space="preserve"> </w:t>
      </w:r>
      <w:r>
        <w:t xml:space="preserve">large, localized genetic effect. Thus, the HDMA approach is consistent</w:t>
      </w:r>
      <w:r>
        <w:t xml:space="preserve"> </w:t>
      </w:r>
      <w:r>
        <w:t xml:space="preserve">with the omnigenic model of complex traits which posits that complex</w:t>
      </w:r>
      <w:r>
        <w:t xml:space="preserve"> </w:t>
      </w:r>
      <w:r>
        <w:t xml:space="preserve">traits are massively polygenic and that their heritability is spread out</w:t>
      </w:r>
      <w:r>
        <w:t xml:space="preserve"> </w:t>
      </w:r>
      <w:r>
        <w:t xml:space="preserve">across the genome</w:t>
      </w:r>
      <w:r>
        <w:rPr>
          <w:vertAlign w:val="superscript"/>
        </w:rPr>
        <w:t xml:space="preserve">66</w:t>
      </w:r>
      <w:r>
        <w:t xml:space="preserve">. In the omnigenic model, genes are</w:t>
      </w:r>
      <w:r>
        <w:t xml:space="preserve"> </w:t>
      </w:r>
      <w:r>
        <w:t xml:space="preserve">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</w:t>
      </w:r>
      <w:r>
        <w:t xml:space="preserve"> </w:t>
      </w:r>
      <w:r>
        <w:t xml:space="preserve">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 directly trait-related,</w:t>
      </w:r>
      <w:r>
        <w:t xml:space="preserve"> </w:t>
      </w:r>
      <w:r>
        <w:t xml:space="preserve">but influence core genes through the complex gene regulatory network.</w:t>
      </w:r>
      <w:r>
        <w:t xml:space="preserve"> </w:t>
      </w:r>
      <w:r>
        <w:t xml:space="preserve">HDMA explicitly models a central proposal of the omnigenic model which</w:t>
      </w:r>
      <w:r>
        <w:t xml:space="preserve"> </w:t>
      </w:r>
      <w:r>
        <w:t xml:space="preserve">posits that once the expression of the core genes (i.e. trait-mediating</w:t>
      </w:r>
      <w:r>
        <w:t xml:space="preserve"> </w:t>
      </w:r>
      <w:r>
        <w:t xml:space="preserve">genes) is accounted for, there should be no residual correlation between</w:t>
      </w:r>
      <w:r>
        <w:t xml:space="preserve"> </w:t>
      </w:r>
      <w:r>
        <w:t xml:space="preserve">the genome and the phenome. Here, when the composite transcript was</w:t>
      </w:r>
      <w:r>
        <w:t xml:space="preserve"> </w:t>
      </w:r>
      <w:r>
        <w:t xml:space="preserve">taken into account there was no residual correlation between the</w:t>
      </w:r>
      <w:r>
        <w:t xml:space="preserve"> </w:t>
      </w:r>
      <w:r>
        <w:t xml:space="preserve">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composite transcript is essentially a weighted vector with</w:t>
      </w:r>
      <w:r>
        <w:t xml:space="preserve"> </w:t>
      </w:r>
      <w:r>
        <w:t xml:space="preserve">larger 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</w:t>
      </w:r>
      <w:r>
        <w:t xml:space="preserve"> </w:t>
      </w:r>
      <w:r>
        <w:t xml:space="preserve">transcript. There was no clear demarcation between the core and</w:t>
      </w:r>
      <w:r>
        <w:t xml:space="preserve"> </w:t>
      </w:r>
      <w:r>
        <w:t xml:space="preserve">peripheral genes in loading magnitude, but we do not necessarily expect</w:t>
      </w:r>
      <w:r>
        <w:t xml:space="preserve"> </w:t>
      </w:r>
      <w:r>
        <w:t xml:space="preserve">a clear separation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67</w:t>
      </w:r>
      <w:r>
        <w:t xml:space="preserve">. Still, the transcripts with</w:t>
      </w:r>
      <w:r>
        <w:t xml:space="preserve"> </w:t>
      </w:r>
      <w:r>
        <w:t xml:space="preserve">the largest loadings had high distal heritability, low local</w:t>
      </w:r>
      <w:r>
        <w:t xml:space="preserve"> </w:t>
      </w:r>
      <w:r>
        <w:t xml:space="preserve">heritability, and were enriched for biological processes related to</w:t>
      </w:r>
      <w:r>
        <w:t xml:space="preserve"> </w:t>
      </w:r>
      <w:r>
        <w:t xml:space="preserve">metabolic traits, as we would 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been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gene expression in terms of obesity and diabetes status</w:t>
      </w:r>
      <w:r>
        <w:t xml:space="preserve"> </w:t>
      </w:r>
      <w:r>
        <w:t xml:space="preserve">further supports the direct translatablility of these findings, the</w:t>
      </w:r>
      <w:r>
        <w:t xml:space="preserve"> </w:t>
      </w:r>
      <w:r>
        <w:t xml:space="preserve">utility of HDMA, and the continued importance of mouse models of human</w:t>
      </w:r>
      <w:r>
        <w:t xml:space="preserve"> </w:t>
      </w:r>
      <w:r>
        <w:t xml:space="preserve">disease in which it is possible to obtain complete transriptomes in</w:t>
      </w:r>
      <w:r>
        <w:t xml:space="preserve"> </w:t>
      </w:r>
      <w:r>
        <w:t xml:space="preserve">mutliple tissues 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2024-08-13T19:21:49Z</dcterms:created>
  <dcterms:modified xsi:type="dcterms:W3CDTF">2024-08-13T19:21:49Z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